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38" w:rsidRPr="00D1403A" w:rsidRDefault="00847EE3" w:rsidP="00542F87">
      <w:pPr>
        <w:spacing w:before="120" w:after="120" w:line="240" w:lineRule="auto"/>
        <w:jc w:val="both"/>
        <w:rPr>
          <w:rFonts w:asciiTheme="minorHAnsi" w:hAnsiTheme="minorHAnsi"/>
          <w:b/>
          <w:bCs/>
          <w:sz w:val="24"/>
          <w:szCs w:val="24"/>
        </w:rPr>
      </w:pPr>
      <w:r w:rsidRPr="00D1403A">
        <w:rPr>
          <w:rFonts w:asciiTheme="minorHAnsi" w:hAnsiTheme="minorHAnsi"/>
          <w:noProof/>
          <w:sz w:val="24"/>
          <w:szCs w:val="24"/>
          <w:lang w:eastAsia="tr-TR"/>
        </w:rPr>
        <w:drawing>
          <wp:anchor distT="0" distB="0" distL="114300" distR="114300" simplePos="0" relativeHeight="251659264" behindDoc="0" locked="0" layoutInCell="1" allowOverlap="1">
            <wp:simplePos x="0" y="0"/>
            <wp:positionH relativeFrom="margin">
              <wp:posOffset>2466604</wp:posOffset>
            </wp:positionH>
            <wp:positionV relativeFrom="paragraph">
              <wp:posOffset>36</wp:posOffset>
            </wp:positionV>
            <wp:extent cx="1771650" cy="1028700"/>
            <wp:effectExtent l="0" t="0" r="0" b="0"/>
            <wp:wrapSquare wrapText="bothSides"/>
            <wp:docPr id="2" name="Resim 2" descr="TKD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DK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71650" cy="1028700"/>
                    </a:xfrm>
                    <a:prstGeom prst="rect">
                      <a:avLst/>
                    </a:prstGeom>
                    <a:noFill/>
                    <a:ln>
                      <a:noFill/>
                    </a:ln>
                  </pic:spPr>
                </pic:pic>
              </a:graphicData>
            </a:graphic>
          </wp:anchor>
        </w:drawing>
      </w:r>
      <w:r w:rsidR="00C17E38" w:rsidRPr="00D1403A">
        <w:rPr>
          <w:rFonts w:asciiTheme="minorHAnsi" w:hAnsiTheme="minorHAnsi" w:cs="Arial"/>
          <w:noProof/>
          <w:color w:val="646464"/>
          <w:sz w:val="24"/>
          <w:szCs w:val="24"/>
          <w:lang w:eastAsia="tr-TR"/>
        </w:rPr>
        <w:t xml:space="preserve">                                        </w:t>
      </w:r>
      <w:r w:rsidR="00C17E38" w:rsidRPr="00D1403A">
        <w:rPr>
          <w:rFonts w:asciiTheme="minorHAnsi" w:hAnsiTheme="minorHAnsi"/>
          <w:b/>
          <w:bCs/>
          <w:sz w:val="24"/>
          <w:szCs w:val="24"/>
        </w:rPr>
        <w:t xml:space="preserve">                     </w:t>
      </w:r>
      <w:r w:rsidRPr="00D1403A">
        <w:rPr>
          <w:rFonts w:asciiTheme="minorHAnsi" w:hAnsiTheme="minorHAnsi"/>
          <w:noProof/>
          <w:sz w:val="24"/>
          <w:szCs w:val="24"/>
          <w:lang w:eastAsia="tr-TR"/>
        </w:rPr>
        <w:drawing>
          <wp:anchor distT="0" distB="0" distL="114300" distR="114300" simplePos="0" relativeHeight="251658240" behindDoc="0" locked="0" layoutInCell="1" allowOverlap="1">
            <wp:simplePos x="0" y="0"/>
            <wp:positionH relativeFrom="margin">
              <wp:posOffset>5308036</wp:posOffset>
            </wp:positionH>
            <wp:positionV relativeFrom="paragraph">
              <wp:posOffset>113030</wp:posOffset>
            </wp:positionV>
            <wp:extent cx="1336675" cy="552450"/>
            <wp:effectExtent l="0" t="0" r="0" b="0"/>
            <wp:wrapSquare wrapText="bothSides"/>
            <wp:docPr id="1" name="Resim 1" descr="Türkiye-AB 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kiye-AB bayr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552450"/>
                    </a:xfrm>
                    <a:prstGeom prst="rect">
                      <a:avLst/>
                    </a:prstGeom>
                    <a:noFill/>
                    <a:ln>
                      <a:noFill/>
                    </a:ln>
                  </pic:spPr>
                </pic:pic>
              </a:graphicData>
            </a:graphic>
          </wp:anchor>
        </w:drawing>
      </w:r>
      <w:r w:rsidRPr="00D1403A">
        <w:rPr>
          <w:rFonts w:asciiTheme="minorHAnsi" w:hAnsiTheme="minorHAnsi" w:cs="Arial"/>
          <w:noProof/>
          <w:color w:val="646464"/>
          <w:sz w:val="24"/>
          <w:szCs w:val="24"/>
          <w:lang w:eastAsia="tr-TR"/>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790575" cy="744855"/>
            <wp:effectExtent l="0" t="0" r="9525" b="0"/>
            <wp:wrapSquare wrapText="bothSides"/>
            <wp:docPr id="3" name="Resim 3"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Bakanli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44855"/>
                    </a:xfrm>
                    <a:prstGeom prst="rect">
                      <a:avLst/>
                    </a:prstGeom>
                    <a:noFill/>
                    <a:ln>
                      <a:noFill/>
                    </a:ln>
                  </pic:spPr>
                </pic:pic>
              </a:graphicData>
            </a:graphic>
          </wp:anchor>
        </w:drawing>
      </w:r>
    </w:p>
    <w:p w:rsidR="00C17E38" w:rsidRPr="00D1403A" w:rsidRDefault="00C17E38" w:rsidP="00542F87">
      <w:pPr>
        <w:spacing w:before="120" w:after="120" w:line="240" w:lineRule="auto"/>
        <w:jc w:val="both"/>
        <w:rPr>
          <w:rFonts w:asciiTheme="minorHAnsi" w:hAnsiTheme="minorHAnsi"/>
          <w:b/>
          <w:bCs/>
          <w:sz w:val="24"/>
          <w:szCs w:val="24"/>
        </w:rPr>
      </w:pPr>
    </w:p>
    <w:p w:rsidR="00C17E38" w:rsidRPr="00D1403A" w:rsidRDefault="003B7ACD" w:rsidP="00542F87">
      <w:pPr>
        <w:spacing w:before="120" w:after="120" w:line="240" w:lineRule="auto"/>
        <w:jc w:val="both"/>
        <w:rPr>
          <w:rFonts w:asciiTheme="minorHAnsi" w:hAnsiTheme="minorHAnsi"/>
          <w:b/>
          <w:bCs/>
          <w:sz w:val="24"/>
          <w:szCs w:val="24"/>
        </w:rPr>
      </w:pPr>
      <w:r>
        <w:rPr>
          <w:rFonts w:asciiTheme="minorHAnsi" w:hAnsiTheme="minorHAnsi"/>
          <w:b/>
          <w:bCs/>
          <w:sz w:val="24"/>
          <w:szCs w:val="24"/>
        </w:rPr>
        <w:t xml:space="preserve"> </w:t>
      </w:r>
    </w:p>
    <w:p w:rsidR="00847EE3" w:rsidRPr="00D1403A" w:rsidRDefault="00847EE3" w:rsidP="00542F87">
      <w:pPr>
        <w:spacing w:before="120" w:after="120" w:line="240" w:lineRule="auto"/>
        <w:jc w:val="both"/>
        <w:rPr>
          <w:rFonts w:asciiTheme="minorHAnsi" w:hAnsiTheme="minorHAnsi"/>
          <w:b/>
          <w:bCs/>
          <w:sz w:val="24"/>
          <w:szCs w:val="24"/>
        </w:rPr>
      </w:pPr>
      <w:bookmarkStart w:id="0" w:name="_GoBack"/>
    </w:p>
    <w:bookmarkEnd w:id="0"/>
    <w:p w:rsidR="006C2936" w:rsidRPr="00D1403A" w:rsidRDefault="006C2936" w:rsidP="00542F87">
      <w:pPr>
        <w:pStyle w:val="AralkYok"/>
        <w:spacing w:before="120" w:after="120"/>
        <w:jc w:val="both"/>
        <w:rPr>
          <w:rFonts w:asciiTheme="minorHAnsi" w:hAnsiTheme="minorHAnsi"/>
          <w:color w:val="FF0000"/>
          <w:sz w:val="24"/>
          <w:szCs w:val="24"/>
        </w:rPr>
      </w:pPr>
    </w:p>
    <w:p w:rsidR="00C17E38" w:rsidRPr="00D94E58" w:rsidRDefault="00D94E58" w:rsidP="00542F87">
      <w:pPr>
        <w:spacing w:before="120" w:after="120" w:line="240" w:lineRule="auto"/>
        <w:ind w:left="426"/>
        <w:jc w:val="center"/>
        <w:rPr>
          <w:rFonts w:asciiTheme="minorHAnsi" w:hAnsiTheme="minorHAnsi"/>
          <w:b/>
          <w:noProof/>
          <w:sz w:val="40"/>
          <w:szCs w:val="32"/>
          <w:lang w:eastAsia="tr-TR"/>
        </w:rPr>
      </w:pPr>
      <w:r w:rsidRPr="00D94E58">
        <w:rPr>
          <w:rFonts w:asciiTheme="minorHAnsi" w:hAnsiTheme="minorHAnsi"/>
          <w:b/>
          <w:noProof/>
          <w:sz w:val="40"/>
          <w:szCs w:val="32"/>
          <w:lang w:eastAsia="tr-TR"/>
        </w:rPr>
        <w:t>BASIN BİLDİRİSİ</w:t>
      </w:r>
    </w:p>
    <w:p w:rsidR="008704A7" w:rsidRPr="008704A7" w:rsidRDefault="008704A7" w:rsidP="008704A7">
      <w:pPr>
        <w:jc w:val="center"/>
        <w:rPr>
          <w:rFonts w:ascii="Times New Roman" w:hAnsi="Times New Roman"/>
          <w:b/>
        </w:rPr>
      </w:pPr>
      <w:r w:rsidRPr="008704A7">
        <w:rPr>
          <w:rFonts w:ascii="Times New Roman" w:hAnsi="Times New Roman"/>
          <w:b/>
        </w:rPr>
        <w:t>TARIM VE KIRSAL KALKINMAYI</w:t>
      </w:r>
      <w:r>
        <w:rPr>
          <w:rFonts w:ascii="Times New Roman" w:hAnsi="Times New Roman"/>
          <w:b/>
        </w:rPr>
        <w:t xml:space="preserve"> </w:t>
      </w:r>
      <w:r w:rsidRPr="008704A7">
        <w:rPr>
          <w:rFonts w:ascii="Times New Roman" w:hAnsi="Times New Roman"/>
          <w:b/>
        </w:rPr>
        <w:t>DESTEKLEME KURUMU</w:t>
      </w:r>
      <w:r>
        <w:rPr>
          <w:rFonts w:ascii="Times New Roman" w:hAnsi="Times New Roman"/>
          <w:b/>
        </w:rPr>
        <w:t xml:space="preserve"> </w:t>
      </w:r>
    </w:p>
    <w:p w:rsidR="008303FA" w:rsidRPr="008704A7" w:rsidRDefault="008303FA" w:rsidP="008303FA">
      <w:pPr>
        <w:spacing w:before="120" w:after="0" w:line="240" w:lineRule="auto"/>
        <w:ind w:left="426"/>
        <w:jc w:val="center"/>
        <w:rPr>
          <w:rFonts w:ascii="Times New Roman" w:hAnsi="Times New Roman"/>
          <w:b/>
        </w:rPr>
      </w:pPr>
      <w:r w:rsidRPr="008704A7">
        <w:rPr>
          <w:rFonts w:ascii="Times New Roman" w:hAnsi="Times New Roman"/>
          <w:b/>
        </w:rPr>
        <w:t>VAN İL KOORDİNATÖRLÜĞÜ</w:t>
      </w:r>
    </w:p>
    <w:p w:rsidR="00847EE3" w:rsidRPr="008704A7" w:rsidRDefault="000E22E0" w:rsidP="008303FA">
      <w:pPr>
        <w:spacing w:before="120" w:after="0" w:line="240" w:lineRule="auto"/>
        <w:ind w:left="426"/>
        <w:jc w:val="center"/>
        <w:rPr>
          <w:rFonts w:ascii="Times New Roman" w:hAnsi="Times New Roman"/>
          <w:b/>
        </w:rPr>
      </w:pPr>
      <w:r w:rsidRPr="008704A7">
        <w:rPr>
          <w:rFonts w:ascii="Times New Roman" w:hAnsi="Times New Roman"/>
          <w:b/>
        </w:rPr>
        <w:t xml:space="preserve"> IPARD II</w:t>
      </w:r>
      <w:r w:rsidR="00847EE3" w:rsidRPr="008704A7">
        <w:rPr>
          <w:rFonts w:ascii="Times New Roman" w:hAnsi="Times New Roman"/>
          <w:b/>
        </w:rPr>
        <w:t xml:space="preserve"> PROGRAMI </w:t>
      </w:r>
      <w:r w:rsidR="001878D2" w:rsidRPr="008704A7">
        <w:rPr>
          <w:rFonts w:ascii="Times New Roman" w:hAnsi="Times New Roman"/>
          <w:b/>
        </w:rPr>
        <w:t>LANSMAN</w:t>
      </w:r>
      <w:r w:rsidR="008303FA" w:rsidRPr="008704A7">
        <w:rPr>
          <w:rFonts w:ascii="Times New Roman" w:hAnsi="Times New Roman"/>
          <w:b/>
        </w:rPr>
        <w:t xml:space="preserve"> TOPLANTISI</w:t>
      </w:r>
    </w:p>
    <w:p w:rsidR="008704A7" w:rsidRPr="008704A7" w:rsidRDefault="008704A7" w:rsidP="008704A7">
      <w:pPr>
        <w:spacing w:before="120" w:after="0" w:line="240" w:lineRule="auto"/>
        <w:jc w:val="both"/>
        <w:rPr>
          <w:rFonts w:ascii="Times New Roman" w:hAnsi="Times New Roman"/>
          <w:b/>
        </w:rPr>
      </w:pPr>
    </w:p>
    <w:p w:rsidR="008704A7" w:rsidRDefault="008704A7" w:rsidP="008704A7">
      <w:pPr>
        <w:ind w:firstLine="708"/>
        <w:jc w:val="both"/>
        <w:rPr>
          <w:rFonts w:ascii="Times New Roman" w:hAnsi="Times New Roman"/>
        </w:rPr>
      </w:pPr>
      <w:r>
        <w:rPr>
          <w:rFonts w:ascii="Times New Roman" w:hAnsi="Times New Roman"/>
        </w:rPr>
        <w:t xml:space="preserve">Avrupa Birliği (AB) aday ve potansiyel aday ülkelere destek amacıyla 1085/2006 sayılı Konsey Tüzüğü çerçevesinde Katılım Öncesi Yardım Aracı (Instrument for Pre-Accession Assistance- IPA) oluşturulmuştur. IPA desteği beş bileşeni içermekte olup, Türkiye IPA tüzüğünün EK 1’inde yer alan aday ülke statüsünde bütün bileşenlerden yararlanabilmektedir. IPA’nın beşinci bileşeni Kırsal Kalkınma (IPA Rural Development- IPARD) Avrupa Birliği’nin Ortak Tarım Politikası, Kırsal Kalkınma Politikası ve ilgili politikalarının uygulanması ve yönetimi için uyum hazırlıklarını ve bu kapsamda politika geliştirilmesini desteklemektedir. </w:t>
      </w:r>
    </w:p>
    <w:p w:rsidR="008704A7" w:rsidRDefault="008704A7" w:rsidP="008704A7">
      <w:pPr>
        <w:ind w:firstLine="708"/>
        <w:jc w:val="both"/>
        <w:rPr>
          <w:rFonts w:ascii="Times New Roman" w:hAnsi="Times New Roman"/>
        </w:rPr>
      </w:pPr>
      <w:r>
        <w:rPr>
          <w:rFonts w:ascii="Times New Roman" w:hAnsi="Times New Roman"/>
        </w:rPr>
        <w:t xml:space="preserve">IPARD I programının tamamlanması nedeniyle başlayacak olan IPARD II programına ilişkin olarak düzenlenecek Lansman toplantısına ilişkin bilgiler aşağıda sunulmuştur. </w:t>
      </w:r>
    </w:p>
    <w:p w:rsidR="008704A7" w:rsidRDefault="008704A7" w:rsidP="008704A7">
      <w:pPr>
        <w:ind w:left="2832" w:hanging="2832"/>
        <w:rPr>
          <w:rFonts w:ascii="Times New Roman" w:hAnsi="Times New Roman"/>
        </w:rPr>
      </w:pPr>
      <w:r>
        <w:rPr>
          <w:rFonts w:ascii="Times New Roman" w:hAnsi="Times New Roman"/>
        </w:rPr>
        <w:t>Düzenleyen Kurum</w:t>
      </w:r>
      <w:r>
        <w:rPr>
          <w:rFonts w:ascii="Times New Roman" w:hAnsi="Times New Roman"/>
        </w:rPr>
        <w:tab/>
      </w:r>
      <w:r>
        <w:rPr>
          <w:rFonts w:ascii="Times New Roman" w:hAnsi="Times New Roman"/>
        </w:rPr>
        <w:tab/>
        <w:t xml:space="preserve">: </w:t>
      </w:r>
      <w:r>
        <w:rPr>
          <w:rFonts w:ascii="Times New Roman" w:hAnsi="Times New Roman"/>
          <w:b/>
        </w:rPr>
        <w:t xml:space="preserve">Tarım ve Kırsal Kalkınmayı Destekleme Kurumu </w:t>
      </w:r>
      <w:r>
        <w:rPr>
          <w:rFonts w:ascii="Times New Roman" w:hAnsi="Times New Roman"/>
          <w:b/>
        </w:rPr>
        <w:tab/>
        <w:t xml:space="preserve">                     </w:t>
      </w:r>
      <w:r>
        <w:rPr>
          <w:rFonts w:ascii="Times New Roman" w:hAnsi="Times New Roman"/>
          <w:b/>
        </w:rPr>
        <w:tab/>
      </w:r>
      <w:r>
        <w:rPr>
          <w:rFonts w:ascii="Times New Roman" w:hAnsi="Times New Roman"/>
          <w:b/>
        </w:rPr>
        <w:tab/>
        <w:t xml:space="preserve">                      Van İl Koordinatörlüğü</w:t>
      </w:r>
    </w:p>
    <w:p w:rsidR="008704A7" w:rsidRDefault="008704A7" w:rsidP="008704A7">
      <w:pPr>
        <w:rPr>
          <w:rFonts w:ascii="Times New Roman" w:hAnsi="Times New Roman"/>
        </w:rPr>
      </w:pPr>
      <w:r>
        <w:rPr>
          <w:rFonts w:ascii="Times New Roman" w:hAnsi="Times New Roman"/>
        </w:rPr>
        <w:t>Toplantı Konusu</w:t>
      </w:r>
      <w:r>
        <w:rPr>
          <w:rFonts w:ascii="Times New Roman" w:hAnsi="Times New Roman"/>
        </w:rPr>
        <w:tab/>
      </w:r>
      <w:r>
        <w:rPr>
          <w:rFonts w:ascii="Times New Roman" w:hAnsi="Times New Roman"/>
        </w:rPr>
        <w:tab/>
        <w:t xml:space="preserve">: </w:t>
      </w:r>
      <w:r>
        <w:rPr>
          <w:rFonts w:ascii="Times New Roman" w:hAnsi="Times New Roman"/>
          <w:b/>
        </w:rPr>
        <w:t>IPARD II Lansman</w:t>
      </w:r>
    </w:p>
    <w:p w:rsidR="008704A7" w:rsidRDefault="008704A7" w:rsidP="008704A7">
      <w:pPr>
        <w:rPr>
          <w:rFonts w:ascii="Times New Roman" w:hAnsi="Times New Roman"/>
        </w:rPr>
      </w:pPr>
      <w:r>
        <w:rPr>
          <w:rFonts w:ascii="Times New Roman" w:hAnsi="Times New Roman"/>
        </w:rPr>
        <w:t>Toplantı Yeri</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Elit World Van Hotel</w:t>
      </w:r>
    </w:p>
    <w:p w:rsidR="008704A7" w:rsidRDefault="008704A7" w:rsidP="008704A7">
      <w:pPr>
        <w:rPr>
          <w:rFonts w:ascii="Times New Roman" w:hAnsi="Times New Roman"/>
        </w:rPr>
      </w:pPr>
      <w:r>
        <w:rPr>
          <w:rFonts w:ascii="Times New Roman" w:hAnsi="Times New Roman"/>
        </w:rPr>
        <w:t>Toplantı Tarihi</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05.01.2015 Salı </w:t>
      </w:r>
      <w:r w:rsidRPr="00D7178F">
        <w:rPr>
          <w:rFonts w:ascii="Times New Roman" w:hAnsi="Times New Roman"/>
          <w:b/>
        </w:rPr>
        <w:t>11:00-13:00</w:t>
      </w:r>
    </w:p>
    <w:p w:rsidR="008704A7" w:rsidRDefault="008704A7" w:rsidP="008704A7">
      <w:pPr>
        <w:rPr>
          <w:rFonts w:ascii="Times New Roman" w:hAnsi="Times New Roman"/>
          <w:b/>
        </w:rPr>
      </w:pPr>
      <w:r>
        <w:rPr>
          <w:rFonts w:ascii="Times New Roman" w:hAnsi="Times New Roman"/>
        </w:rPr>
        <w:t>Planlanan Katılımcı Sayısı</w:t>
      </w:r>
      <w:r>
        <w:rPr>
          <w:rFonts w:ascii="Times New Roman" w:hAnsi="Times New Roman"/>
        </w:rPr>
        <w:tab/>
        <w:t xml:space="preserve">: </w:t>
      </w:r>
      <w:r w:rsidR="00D7178F">
        <w:rPr>
          <w:rFonts w:ascii="Times New Roman" w:hAnsi="Times New Roman"/>
          <w:b/>
        </w:rPr>
        <w:t>350</w:t>
      </w:r>
      <w:r w:rsidRPr="00D7178F">
        <w:rPr>
          <w:rFonts w:ascii="Times New Roman" w:hAnsi="Times New Roman"/>
          <w:b/>
        </w:rPr>
        <w:t xml:space="preserve"> Kişi</w:t>
      </w:r>
    </w:p>
    <w:p w:rsidR="008704A7" w:rsidRDefault="008704A7" w:rsidP="008704A7">
      <w:pPr>
        <w:jc w:val="both"/>
        <w:rPr>
          <w:rFonts w:ascii="Times New Roman" w:hAnsi="Times New Roman"/>
          <w:b/>
          <w:u w:val="single"/>
        </w:rPr>
      </w:pPr>
    </w:p>
    <w:p w:rsidR="008704A7" w:rsidRDefault="003739C5" w:rsidP="008704A7">
      <w:pPr>
        <w:jc w:val="both"/>
        <w:rPr>
          <w:rFonts w:ascii="Times New Roman" w:hAnsi="Times New Roman"/>
          <w:b/>
          <w:u w:val="single"/>
        </w:rPr>
      </w:pPr>
      <w:r>
        <w:rPr>
          <w:rFonts w:ascii="Times New Roman" w:hAnsi="Times New Roman"/>
          <w:b/>
          <w:u w:val="single"/>
        </w:rPr>
        <w:t>IPARD I Programı Van</w:t>
      </w:r>
      <w:r w:rsidR="008704A7">
        <w:rPr>
          <w:rFonts w:ascii="Times New Roman" w:hAnsi="Times New Roman"/>
          <w:b/>
          <w:u w:val="single"/>
        </w:rPr>
        <w:t xml:space="preserve"> İli Proje verileri</w:t>
      </w:r>
    </w:p>
    <w:p w:rsidR="008704A7" w:rsidRDefault="008704A7" w:rsidP="008704A7">
      <w:pPr>
        <w:rPr>
          <w:rFonts w:ascii="Times New Roman" w:hAnsi="Times New Roman"/>
        </w:rPr>
      </w:pPr>
      <w:r>
        <w:rPr>
          <w:rFonts w:ascii="Times New Roman" w:hAnsi="Times New Roman"/>
        </w:rPr>
        <w:t>Sözleşmeye Bağlanan Proje Sayısı</w:t>
      </w:r>
      <w:r>
        <w:rPr>
          <w:rFonts w:ascii="Times New Roman" w:hAnsi="Times New Roman"/>
        </w:rPr>
        <w:tab/>
        <w:t xml:space="preserve">: </w:t>
      </w:r>
      <w:r>
        <w:rPr>
          <w:rFonts w:ascii="Times New Roman" w:hAnsi="Times New Roman"/>
          <w:bCs/>
        </w:rPr>
        <w:t>138</w:t>
      </w:r>
    </w:p>
    <w:p w:rsidR="003739C5" w:rsidRDefault="008704A7" w:rsidP="008704A7">
      <w:pPr>
        <w:rPr>
          <w:rFonts w:ascii="Times New Roman" w:hAnsi="Times New Roman"/>
          <w:bCs/>
        </w:rPr>
      </w:pPr>
      <w:r>
        <w:rPr>
          <w:rFonts w:ascii="Times New Roman" w:hAnsi="Times New Roman"/>
        </w:rPr>
        <w:t>Toplam Yatırım Tutarı</w:t>
      </w:r>
      <w:r>
        <w:rPr>
          <w:rFonts w:ascii="Times New Roman" w:hAnsi="Times New Roman"/>
        </w:rPr>
        <w:tab/>
      </w:r>
      <w:r>
        <w:rPr>
          <w:rFonts w:ascii="Times New Roman" w:hAnsi="Times New Roman"/>
        </w:rPr>
        <w:tab/>
      </w:r>
      <w:r>
        <w:rPr>
          <w:rFonts w:ascii="Times New Roman" w:hAnsi="Times New Roman"/>
        </w:rPr>
        <w:tab/>
        <w:t xml:space="preserve">: </w:t>
      </w:r>
      <w:r w:rsidR="003739C5">
        <w:rPr>
          <w:rFonts w:ascii="Times New Roman" w:hAnsi="Times New Roman"/>
          <w:bCs/>
        </w:rPr>
        <w:t>71.416. 501,90 TL</w:t>
      </w:r>
    </w:p>
    <w:p w:rsidR="008704A7" w:rsidRDefault="008704A7" w:rsidP="008704A7">
      <w:pPr>
        <w:rPr>
          <w:rFonts w:ascii="Times New Roman" w:hAnsi="Times New Roman"/>
        </w:rPr>
      </w:pPr>
      <w:r>
        <w:rPr>
          <w:rFonts w:ascii="Times New Roman" w:hAnsi="Times New Roman"/>
        </w:rPr>
        <w:t>Toplam Hibe Tutarı</w:t>
      </w:r>
      <w:r>
        <w:rPr>
          <w:rFonts w:ascii="Times New Roman" w:hAnsi="Times New Roman"/>
        </w:rPr>
        <w:tab/>
      </w:r>
      <w:r>
        <w:rPr>
          <w:rFonts w:ascii="Times New Roman" w:hAnsi="Times New Roman"/>
        </w:rPr>
        <w:tab/>
      </w:r>
      <w:r>
        <w:rPr>
          <w:rFonts w:ascii="Times New Roman" w:hAnsi="Times New Roman"/>
        </w:rPr>
        <w:tab/>
        <w:t xml:space="preserve">: </w:t>
      </w:r>
      <w:r w:rsidR="003739C5">
        <w:rPr>
          <w:rFonts w:ascii="Times New Roman" w:hAnsi="Times New Roman"/>
          <w:bCs/>
        </w:rPr>
        <w:t>22.901.958,28 TL</w:t>
      </w:r>
    </w:p>
    <w:p w:rsidR="008704A7" w:rsidRDefault="003739C5" w:rsidP="008704A7">
      <w:pPr>
        <w:rPr>
          <w:rFonts w:ascii="Times New Roman" w:hAnsi="Times New Roman"/>
        </w:rPr>
      </w:pPr>
      <w:r>
        <w:rPr>
          <w:rFonts w:ascii="Times New Roman" w:hAnsi="Times New Roman"/>
        </w:rPr>
        <w:t>Ödeme Yapılan Tutar</w:t>
      </w:r>
      <w:r>
        <w:rPr>
          <w:rFonts w:ascii="Times New Roman" w:hAnsi="Times New Roman"/>
        </w:rPr>
        <w:tab/>
      </w:r>
      <w:r>
        <w:rPr>
          <w:rFonts w:ascii="Times New Roman" w:hAnsi="Times New Roman"/>
        </w:rPr>
        <w:tab/>
      </w:r>
      <w:r>
        <w:rPr>
          <w:rFonts w:ascii="Times New Roman" w:hAnsi="Times New Roman"/>
        </w:rPr>
        <w:tab/>
        <w:t>: 38.234.915,35 TL</w:t>
      </w:r>
    </w:p>
    <w:p w:rsidR="008704A7" w:rsidRDefault="008704A7" w:rsidP="008704A7">
      <w:pPr>
        <w:rPr>
          <w:rFonts w:ascii="Times New Roman" w:hAnsi="Times New Roman"/>
          <w:bCs/>
        </w:rPr>
      </w:pPr>
      <w:r>
        <w:rPr>
          <w:rFonts w:ascii="Times New Roman" w:hAnsi="Times New Roman"/>
        </w:rPr>
        <w:t>Toplam İstihdam Sağlanan Kişi Sayısı</w:t>
      </w:r>
      <w:r>
        <w:rPr>
          <w:rFonts w:ascii="Times New Roman" w:hAnsi="Times New Roman"/>
        </w:rPr>
        <w:tab/>
        <w:t xml:space="preserve">: </w:t>
      </w:r>
      <w:r w:rsidR="003739C5">
        <w:rPr>
          <w:rFonts w:ascii="Times New Roman" w:hAnsi="Times New Roman"/>
          <w:bCs/>
        </w:rPr>
        <w:t>301</w:t>
      </w:r>
    </w:p>
    <w:p w:rsidR="008704A7" w:rsidRDefault="008704A7" w:rsidP="008704A7">
      <w:pPr>
        <w:rPr>
          <w:rFonts w:ascii="Times New Roman" w:hAnsi="Times New Roman"/>
          <w:bCs/>
        </w:rPr>
      </w:pPr>
    </w:p>
    <w:p w:rsidR="008704A7" w:rsidRDefault="008704A7" w:rsidP="008704A7">
      <w:pPr>
        <w:rPr>
          <w:rFonts w:ascii="Times New Roman" w:hAnsi="Times New Roman"/>
          <w:bCs/>
        </w:rPr>
      </w:pPr>
    </w:p>
    <w:p w:rsidR="008704A7" w:rsidRDefault="008704A7" w:rsidP="008704A7">
      <w:pPr>
        <w:rPr>
          <w:rFonts w:ascii="Times New Roman" w:hAnsi="Times New Roman"/>
        </w:rPr>
      </w:pPr>
    </w:p>
    <w:p w:rsidR="008704A7" w:rsidRDefault="008704A7" w:rsidP="008704A7">
      <w:pPr>
        <w:rPr>
          <w:rFonts w:ascii="Times New Roman" w:hAnsi="Times New Roman"/>
          <w:b/>
          <w:u w:val="single"/>
        </w:rPr>
      </w:pPr>
      <w:r>
        <w:rPr>
          <w:rFonts w:ascii="Times New Roman" w:hAnsi="Times New Roman"/>
          <w:b/>
          <w:u w:val="single"/>
        </w:rPr>
        <w:lastRenderedPageBreak/>
        <w:t>IPARD II Programı</w:t>
      </w:r>
    </w:p>
    <w:p w:rsidR="008704A7" w:rsidRDefault="008704A7" w:rsidP="008704A7">
      <w:pPr>
        <w:rPr>
          <w:rFonts w:ascii="Times New Roman" w:hAnsi="Times New Roman"/>
          <w:b/>
          <w:u w:val="single"/>
        </w:rPr>
      </w:pPr>
    </w:p>
    <w:p w:rsidR="008704A7" w:rsidRDefault="008704A7" w:rsidP="008704A7">
      <w:pPr>
        <w:spacing w:line="240" w:lineRule="auto"/>
        <w:ind w:firstLine="708"/>
        <w:jc w:val="both"/>
        <w:rPr>
          <w:rFonts w:ascii="Times New Roman" w:hAnsi="Times New Roman"/>
        </w:rPr>
      </w:pPr>
      <w:r>
        <w:rPr>
          <w:rFonts w:ascii="Times New Roman" w:hAnsi="Times New Roman"/>
        </w:rPr>
        <w:t xml:space="preserve">Hâlihazırda uygulamasına devam edilen IPARD-I Programının devamı niteliğindeki, 2014-2020 dönemini kapsayan IPARD-II Programı, 27 Ocak 2015 tarihinde Avrupa Komisyonu tarafından resmen onaylanmıştır. </w:t>
      </w:r>
    </w:p>
    <w:p w:rsidR="008704A7" w:rsidRDefault="008704A7" w:rsidP="008704A7">
      <w:pPr>
        <w:spacing w:line="240" w:lineRule="auto"/>
        <w:ind w:firstLine="708"/>
        <w:jc w:val="both"/>
        <w:rPr>
          <w:rFonts w:ascii="Times New Roman" w:hAnsi="Times New Roman"/>
        </w:rPr>
      </w:pPr>
      <w:r>
        <w:rPr>
          <w:rFonts w:ascii="Times New Roman" w:hAnsi="Times New Roman"/>
        </w:rPr>
        <w:t xml:space="preserve">Mevcut Programda olduğu gibi, “2014-2020 dönemi IPARD Programı” kapsamında da, gıda, tarım ve hayvancılık sektörlerinde faaliyette bulunan üreticiler veya bu sektörlerde yatırım yapmak isteyen girişimciler ile kırsal alanda belirli yerel ürünlerin üretimi, kırsal turizm, kültür balıkçılığı gibi çeşitli alanlarda yatırım yapmak isteyen vatandaşlarımızın yatırımları için değişen oranlarda hibe desteği verilecektir. Yeni dönem programı ile kırsal alanlarda yerel eylem girişimleri ve çevre dostu tedbirler de desteklenecektir. </w:t>
      </w:r>
    </w:p>
    <w:p w:rsidR="008704A7" w:rsidRDefault="008704A7" w:rsidP="008704A7">
      <w:pPr>
        <w:spacing w:line="240" w:lineRule="auto"/>
        <w:ind w:firstLine="708"/>
        <w:jc w:val="both"/>
        <w:rPr>
          <w:rFonts w:ascii="Times New Roman" w:hAnsi="Times New Roman"/>
        </w:rPr>
      </w:pPr>
      <w:r>
        <w:rPr>
          <w:rFonts w:ascii="Times New Roman" w:hAnsi="Times New Roman"/>
        </w:rPr>
        <w:t xml:space="preserve">IPARD-II Programı dâhilinde 801 milyon avro AB katkısı ile 244 milyon avro Türkiye Cumhuriyeti katkısı olmak üzere 1 milyar 45 milyon avro (3 Milyar TL) hibe kullandırılacaktır. </w:t>
      </w:r>
    </w:p>
    <w:p w:rsidR="008704A7" w:rsidRDefault="008704A7" w:rsidP="008704A7">
      <w:pPr>
        <w:spacing w:line="240" w:lineRule="auto"/>
        <w:jc w:val="both"/>
        <w:rPr>
          <w:rFonts w:ascii="Times New Roman" w:hAnsi="Times New Roman"/>
        </w:rPr>
      </w:pPr>
      <w:r>
        <w:rPr>
          <w:rFonts w:ascii="Times New Roman" w:hAnsi="Times New Roman"/>
          <w:b/>
          <w:u w:val="single"/>
        </w:rPr>
        <w:t>Besicilik destekleri kapsamında</w:t>
      </w:r>
      <w:r>
        <w:rPr>
          <w:rFonts w:ascii="Times New Roman" w:hAnsi="Times New Roman"/>
        </w:rPr>
        <w:t>, manda sütü üretimi, mevcut işletmelerde yumurta tavukçuluğu ve kaz yetiştiriciliği destek kapsamına alınmıştır. %50-%65 olan yardım oranı en az %60, en fazla %70 olarak değişmiştir. Besicilik ve işleme ve pazarlama sektörlerinde atık yönetimi yatırımı yapan başvuru sahiplerine yardım oranı %10 artacaktır.</w:t>
      </w:r>
    </w:p>
    <w:p w:rsidR="008704A7" w:rsidRDefault="008704A7" w:rsidP="008704A7">
      <w:pPr>
        <w:spacing w:line="240" w:lineRule="auto"/>
        <w:jc w:val="both"/>
        <w:rPr>
          <w:rFonts w:ascii="Times New Roman" w:hAnsi="Times New Roman"/>
        </w:rPr>
      </w:pPr>
      <w:r>
        <w:rPr>
          <w:rFonts w:ascii="Times New Roman" w:hAnsi="Times New Roman"/>
          <w:b/>
          <w:u w:val="single"/>
        </w:rPr>
        <w:t>Kırsal ekonomik faaliyetlerin desteklenmesi kapsamında,</w:t>
      </w:r>
      <w:r>
        <w:rPr>
          <w:rFonts w:ascii="Times New Roman" w:hAnsi="Times New Roman"/>
        </w:rPr>
        <w:t xml:space="preserve"> yenilenebilir enerji ve makine parkları destek kapsamına alınmıştır. IPARD-II Programında desteklenen ürünlere mantar eklenmiştir. %50 olan destek oranı IPARD-II’de %65 olarak değiştirilmiştir.</w:t>
      </w:r>
    </w:p>
    <w:p w:rsidR="008704A7" w:rsidRDefault="008704A7" w:rsidP="008704A7">
      <w:pPr>
        <w:spacing w:line="240" w:lineRule="auto"/>
        <w:jc w:val="both"/>
        <w:rPr>
          <w:rFonts w:ascii="Times New Roman" w:hAnsi="Times New Roman"/>
        </w:rPr>
      </w:pPr>
      <w:r>
        <w:rPr>
          <w:rFonts w:ascii="Times New Roman" w:hAnsi="Times New Roman"/>
        </w:rPr>
        <w:t xml:space="preserve"> </w:t>
      </w:r>
    </w:p>
    <w:p w:rsidR="008704A7" w:rsidRDefault="008704A7" w:rsidP="008704A7">
      <w:pPr>
        <w:spacing w:line="240" w:lineRule="auto"/>
        <w:jc w:val="both"/>
        <w:rPr>
          <w:rFonts w:ascii="Times New Roman" w:hAnsi="Times New Roman"/>
          <w:b/>
          <w:u w:val="single"/>
        </w:rPr>
      </w:pPr>
      <w:r>
        <w:rPr>
          <w:rFonts w:ascii="Times New Roman" w:hAnsi="Times New Roman"/>
          <w:b/>
          <w:u w:val="single"/>
        </w:rPr>
        <w:t>IPARD II’nin Yeni Sektörleri</w:t>
      </w:r>
    </w:p>
    <w:p w:rsidR="008704A7" w:rsidRDefault="008704A7" w:rsidP="008704A7">
      <w:pPr>
        <w:spacing w:line="240" w:lineRule="auto"/>
        <w:jc w:val="both"/>
        <w:rPr>
          <w:rFonts w:ascii="Times New Roman" w:hAnsi="Times New Roman"/>
        </w:rPr>
      </w:pPr>
      <w:r>
        <w:rPr>
          <w:rFonts w:ascii="Times New Roman" w:hAnsi="Times New Roman"/>
        </w:rPr>
        <w:t xml:space="preserve">Tarım Çevre, İklim, Organik Tarım kapsamında, Çiftçi Kayıt Sistemine kayıtlı gerçek ve tüzel kişiler desteklenecektir. Başvuru sahibi, iyi tarım ve çevre uygulamalarını, arazisinde toprak yönetimi yolu ile 5 yıl süre ile uygulayacağını taahhüt etmelidir. </w:t>
      </w:r>
    </w:p>
    <w:p w:rsidR="008704A7" w:rsidRDefault="008704A7" w:rsidP="008704A7">
      <w:pPr>
        <w:spacing w:line="240" w:lineRule="auto"/>
        <w:jc w:val="both"/>
        <w:rPr>
          <w:rFonts w:ascii="Times New Roman" w:hAnsi="Times New Roman"/>
        </w:rPr>
      </w:pPr>
      <w:r>
        <w:rPr>
          <w:rFonts w:ascii="Times New Roman" w:hAnsi="Times New Roman"/>
        </w:rPr>
        <w:t xml:space="preserve">Erozyon yönetimi söz konusu olduğunda Beypazarı/Ankara’da yer alan araziler, su korunması kapsamında Şereflikoçhisar/Ankara’da yer alan araziler, biyoçeşitlilik kapsamında ise Polatlı/Ankara’da yer alan araziler, organik tarım kapsamında ise seçilecek pilot bölgeler ileride belirlenecektir. Hektar başına yapılacak ödemeler uygulama döneminde belirlenecektir. </w:t>
      </w:r>
    </w:p>
    <w:p w:rsidR="008704A7" w:rsidRDefault="008704A7" w:rsidP="008704A7">
      <w:pPr>
        <w:spacing w:line="240" w:lineRule="auto"/>
        <w:jc w:val="both"/>
        <w:rPr>
          <w:rFonts w:ascii="Times New Roman" w:hAnsi="Times New Roman"/>
        </w:rPr>
      </w:pPr>
      <w:r>
        <w:rPr>
          <w:rFonts w:ascii="Times New Roman" w:hAnsi="Times New Roman"/>
        </w:rPr>
        <w:t xml:space="preserve">Danışmanlık hizmetleri ve çiftlik kayıtlarının hazırlanması ve işçilik giderleri uygun harcamalar kapsamındadır. </w:t>
      </w:r>
    </w:p>
    <w:p w:rsidR="008704A7" w:rsidRDefault="008704A7" w:rsidP="008704A7">
      <w:pPr>
        <w:spacing w:line="240" w:lineRule="auto"/>
        <w:jc w:val="both"/>
        <w:rPr>
          <w:rFonts w:ascii="Times New Roman" w:hAnsi="Times New Roman"/>
        </w:rPr>
      </w:pPr>
      <w:r>
        <w:rPr>
          <w:rFonts w:ascii="Times New Roman" w:hAnsi="Times New Roman"/>
        </w:rPr>
        <w:t xml:space="preserve">LEADER kapsamında, faydalanıcılar Yerel Eylem Gruplarıdır (YEG). Seçilen YEG’lere yetenek kazandırma, harekete geçirme, YEG’lere ait faaliyet giderleri ve faaliyetler kapsamındaki küçük projelerin uygulanması, işbirliği projelerinin uygulanması destek kapsamındadır. </w:t>
      </w:r>
    </w:p>
    <w:p w:rsidR="008704A7" w:rsidRDefault="008704A7" w:rsidP="008704A7">
      <w:pPr>
        <w:spacing w:line="240" w:lineRule="auto"/>
        <w:jc w:val="both"/>
        <w:rPr>
          <w:rFonts w:ascii="Times New Roman" w:hAnsi="Times New Roman"/>
        </w:rPr>
      </w:pPr>
      <w:r>
        <w:rPr>
          <w:rFonts w:ascii="Times New Roman" w:hAnsi="Times New Roman"/>
        </w:rPr>
        <w:t>Kırsal Altyapı Hizmetleri kapsamında, köy idareleri, kırsal alanlarda yer alan il, ilçe belediyeleri ve yatırım alanı kırsal alanda olmak kaydıyla tüm belediyeler, 5355 sayılı kanun kapsamında kurulan mahalli idari birlikleri ve 4562 sayılı kanunun 26/A maddesine göre kurulmuş olan Tarıma Dayalı İhtisas Organize Sanayi Bölgeleri faydalanıcı olabilirler. Kırsal Altyapı Hizmetleri kapsamında en fazla 1 MW kapasitesine sahip yenilenebilir enerji yatırımları uygundur. En fazla uygun harcama tutarı 1,2 milyon Avro olarak belirlenmiştir. TKDK, IPARD Desteğinin 2014-2020 yıllarını içeren 2. Uygulama Döneminde kırsal alanların sürdürülebilir kalkınması için yeni sektörler ve daha yüksek hibe oranlarıyla desteklemelerine devam etmektedir. Yeni dönemde kadın yatırımcılara sıralamada öncelik tanınmakta, genç yatırımcılara daha yüksek oranda hibe sağlanmakta ve destek oranları %50 ile %70 arasında değişmektedir.</w:t>
      </w:r>
    </w:p>
    <w:p w:rsidR="008704A7" w:rsidRDefault="008704A7" w:rsidP="008704A7">
      <w:pPr>
        <w:spacing w:line="240" w:lineRule="auto"/>
        <w:jc w:val="both"/>
        <w:rPr>
          <w:rFonts w:ascii="Times New Roman" w:hAnsi="Times New Roman"/>
        </w:rPr>
      </w:pPr>
    </w:p>
    <w:p w:rsidR="008704A7" w:rsidRDefault="008704A7" w:rsidP="008704A7">
      <w:pPr>
        <w:spacing w:line="240" w:lineRule="auto"/>
        <w:jc w:val="both"/>
        <w:rPr>
          <w:rFonts w:ascii="Times New Roman" w:hAnsi="Times New Roman"/>
        </w:rPr>
      </w:pPr>
    </w:p>
    <w:p w:rsidR="008704A7" w:rsidRDefault="008704A7" w:rsidP="008704A7">
      <w:pPr>
        <w:spacing w:line="240" w:lineRule="auto"/>
        <w:jc w:val="both"/>
        <w:rPr>
          <w:rFonts w:ascii="Times New Roman" w:hAnsi="Times New Roman"/>
        </w:rPr>
      </w:pPr>
    </w:p>
    <w:p w:rsidR="008704A7" w:rsidRDefault="008704A7" w:rsidP="008704A7">
      <w:pPr>
        <w:spacing w:line="240" w:lineRule="auto"/>
        <w:jc w:val="both"/>
        <w:rPr>
          <w:rFonts w:ascii="Times New Roman" w:hAnsi="Times New Roman"/>
        </w:rPr>
      </w:pPr>
    </w:p>
    <w:p w:rsidR="008704A7" w:rsidRDefault="008704A7" w:rsidP="008704A7">
      <w:pPr>
        <w:jc w:val="both"/>
        <w:rPr>
          <w:rFonts w:ascii="Times New Roman" w:hAnsi="Times New Roman"/>
          <w:b/>
          <w:u w:val="single"/>
        </w:rPr>
      </w:pPr>
      <w:r>
        <w:rPr>
          <w:rFonts w:ascii="Times New Roman" w:hAnsi="Times New Roman"/>
          <w:b/>
          <w:u w:val="single"/>
        </w:rPr>
        <w:lastRenderedPageBreak/>
        <w:t>Yatırım Başlıkları:</w:t>
      </w:r>
    </w:p>
    <w:p w:rsidR="008704A7" w:rsidRDefault="008704A7" w:rsidP="008704A7">
      <w:pPr>
        <w:jc w:val="both"/>
        <w:rPr>
          <w:rFonts w:ascii="Times New Roman" w:hAnsi="Times New Roman"/>
        </w:rPr>
      </w:pPr>
      <w:r>
        <w:rPr>
          <w:rFonts w:ascii="Times New Roman" w:hAnsi="Times New Roman"/>
        </w:rPr>
        <w:t>Tarımsal İşletmelerin Fiziki Varlıklarına Yönelik Yatırımlar</w:t>
      </w:r>
    </w:p>
    <w:p w:rsidR="008704A7" w:rsidRDefault="008704A7" w:rsidP="008704A7">
      <w:pPr>
        <w:jc w:val="both"/>
        <w:rPr>
          <w:rFonts w:ascii="Times New Roman" w:hAnsi="Times New Roman"/>
        </w:rPr>
      </w:pPr>
      <w:r>
        <w:rPr>
          <w:rFonts w:ascii="Times New Roman" w:hAnsi="Times New Roman"/>
        </w:rPr>
        <w:t>Tarım ve Balıkçılık Ürünlerin İşlenmesi ve Pazarlanması ile ilgili Fiziki Varlıklara Yönelik Yatırımlar</w:t>
      </w:r>
    </w:p>
    <w:p w:rsidR="008704A7" w:rsidRDefault="008704A7" w:rsidP="008704A7">
      <w:pPr>
        <w:jc w:val="both"/>
        <w:rPr>
          <w:rFonts w:ascii="Times New Roman" w:hAnsi="Times New Roman"/>
        </w:rPr>
      </w:pPr>
      <w:r>
        <w:rPr>
          <w:rFonts w:ascii="Times New Roman" w:hAnsi="Times New Roman"/>
        </w:rPr>
        <w:t xml:space="preserve">Çiftlik faaliyetlerinin Çeşitlendirilmesi ve İş Geliştirme Sektörleri ile </w:t>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Bitkisel Üretimin Çeşitlendirilmesi</w:t>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Arıcılık ve arı ürünlerinin üretimi, işlenmesi</w:t>
      </w:r>
      <w:r>
        <w:rPr>
          <w:rFonts w:ascii="Times New Roman" w:hAnsi="Times New Roman"/>
          <w:bCs/>
        </w:rPr>
        <w:tab/>
      </w:r>
    </w:p>
    <w:p w:rsidR="008704A7" w:rsidRDefault="00D94E58" w:rsidP="008704A7">
      <w:pPr>
        <w:numPr>
          <w:ilvl w:val="0"/>
          <w:numId w:val="1"/>
        </w:numPr>
        <w:spacing w:after="160" w:line="256" w:lineRule="auto"/>
        <w:jc w:val="both"/>
        <w:rPr>
          <w:rFonts w:ascii="Times New Roman" w:hAnsi="Times New Roman"/>
        </w:rPr>
      </w:pPr>
      <w:r>
        <w:rPr>
          <w:rFonts w:ascii="Times New Roman" w:hAnsi="Times New Roman"/>
          <w:bCs/>
        </w:rPr>
        <w:t>Zanaatkârlık</w:t>
      </w:r>
      <w:r w:rsidR="008704A7">
        <w:rPr>
          <w:rFonts w:ascii="Times New Roman" w:hAnsi="Times New Roman"/>
          <w:bCs/>
        </w:rPr>
        <w:t xml:space="preserve"> ve Katma Değerli Ürün İşletmeleri</w:t>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Kırsal Turizm</w:t>
      </w:r>
      <w:r>
        <w:rPr>
          <w:rFonts w:ascii="Times New Roman" w:hAnsi="Times New Roman"/>
          <w:bCs/>
        </w:rPr>
        <w:tab/>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Su Ürünleri Yetiştiriciliği</w:t>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Makine Parkları</w:t>
      </w:r>
    </w:p>
    <w:p w:rsidR="008704A7" w:rsidRDefault="008704A7" w:rsidP="008704A7">
      <w:pPr>
        <w:numPr>
          <w:ilvl w:val="0"/>
          <w:numId w:val="1"/>
        </w:numPr>
        <w:spacing w:after="160" w:line="256" w:lineRule="auto"/>
        <w:jc w:val="both"/>
        <w:rPr>
          <w:rFonts w:ascii="Times New Roman" w:hAnsi="Times New Roman"/>
        </w:rPr>
      </w:pPr>
      <w:r>
        <w:rPr>
          <w:rFonts w:ascii="Times New Roman" w:hAnsi="Times New Roman"/>
          <w:bCs/>
        </w:rPr>
        <w:t>Yenilenebilir Enerji</w:t>
      </w:r>
    </w:p>
    <w:p w:rsidR="008704A7" w:rsidRDefault="008704A7" w:rsidP="008704A7">
      <w:pPr>
        <w:jc w:val="both"/>
        <w:rPr>
          <w:rFonts w:ascii="Times New Roman" w:hAnsi="Times New Roman"/>
        </w:rPr>
      </w:pPr>
      <w:r>
        <w:rPr>
          <w:rFonts w:ascii="Times New Roman" w:hAnsi="Times New Roman"/>
        </w:rPr>
        <w:t>Kırsal Altyapı Hizmetlerine fiziki yatırımlardır.</w:t>
      </w:r>
    </w:p>
    <w:p w:rsidR="008704A7" w:rsidRDefault="008704A7" w:rsidP="008704A7"/>
    <w:p w:rsidR="00542F87" w:rsidRPr="001E0343" w:rsidRDefault="00542F87" w:rsidP="008704A7">
      <w:pPr>
        <w:spacing w:before="120" w:after="120" w:line="240" w:lineRule="auto"/>
        <w:ind w:left="426"/>
        <w:jc w:val="both"/>
        <w:rPr>
          <w:rFonts w:asciiTheme="minorHAnsi" w:hAnsiTheme="minorHAnsi" w:cs="Arial"/>
          <w:color w:val="000000"/>
          <w:sz w:val="23"/>
          <w:szCs w:val="23"/>
        </w:rPr>
      </w:pPr>
    </w:p>
    <w:sectPr w:rsidR="00542F87" w:rsidRPr="001E0343" w:rsidSect="00492885">
      <w:pgSz w:w="11906" w:h="16838"/>
      <w:pgMar w:top="993" w:right="991" w:bottom="113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95" w:rsidRDefault="00247195" w:rsidP="00C17E38">
      <w:pPr>
        <w:spacing w:after="0" w:line="240" w:lineRule="auto"/>
      </w:pPr>
      <w:r>
        <w:separator/>
      </w:r>
    </w:p>
  </w:endnote>
  <w:endnote w:type="continuationSeparator" w:id="0">
    <w:p w:rsidR="00247195" w:rsidRDefault="00247195" w:rsidP="00C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95" w:rsidRDefault="00247195" w:rsidP="00C17E38">
      <w:pPr>
        <w:spacing w:after="0" w:line="240" w:lineRule="auto"/>
      </w:pPr>
      <w:r>
        <w:separator/>
      </w:r>
    </w:p>
  </w:footnote>
  <w:footnote w:type="continuationSeparator" w:id="0">
    <w:p w:rsidR="00247195" w:rsidRDefault="00247195" w:rsidP="00C17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51B7B"/>
    <w:multiLevelType w:val="hybridMultilevel"/>
    <w:tmpl w:val="F6D4CEBC"/>
    <w:lvl w:ilvl="0" w:tplc="81B43AE0">
      <w:start w:val="1"/>
      <w:numFmt w:val="bullet"/>
      <w:lvlText w:val="•"/>
      <w:lvlJc w:val="left"/>
      <w:pPr>
        <w:tabs>
          <w:tab w:val="num" w:pos="720"/>
        </w:tabs>
        <w:ind w:left="720" w:hanging="360"/>
      </w:pPr>
      <w:rPr>
        <w:rFonts w:ascii="Times New Roman" w:hAnsi="Times New Roman" w:cs="Times New Roman" w:hint="default"/>
      </w:rPr>
    </w:lvl>
    <w:lvl w:ilvl="1" w:tplc="0416F98C">
      <w:start w:val="1"/>
      <w:numFmt w:val="bullet"/>
      <w:lvlText w:val="•"/>
      <w:lvlJc w:val="left"/>
      <w:pPr>
        <w:tabs>
          <w:tab w:val="num" w:pos="1440"/>
        </w:tabs>
        <w:ind w:left="1440" w:hanging="360"/>
      </w:pPr>
      <w:rPr>
        <w:rFonts w:ascii="Times New Roman" w:hAnsi="Times New Roman" w:cs="Times New Roman" w:hint="default"/>
      </w:rPr>
    </w:lvl>
    <w:lvl w:ilvl="2" w:tplc="28E2F4A2">
      <w:start w:val="1"/>
      <w:numFmt w:val="bullet"/>
      <w:lvlText w:val="•"/>
      <w:lvlJc w:val="left"/>
      <w:pPr>
        <w:tabs>
          <w:tab w:val="num" w:pos="2160"/>
        </w:tabs>
        <w:ind w:left="2160" w:hanging="360"/>
      </w:pPr>
      <w:rPr>
        <w:rFonts w:ascii="Times New Roman" w:hAnsi="Times New Roman" w:cs="Times New Roman" w:hint="default"/>
      </w:rPr>
    </w:lvl>
    <w:lvl w:ilvl="3" w:tplc="6C6E4448">
      <w:start w:val="1"/>
      <w:numFmt w:val="bullet"/>
      <w:lvlText w:val="•"/>
      <w:lvlJc w:val="left"/>
      <w:pPr>
        <w:tabs>
          <w:tab w:val="num" w:pos="2880"/>
        </w:tabs>
        <w:ind w:left="2880" w:hanging="360"/>
      </w:pPr>
      <w:rPr>
        <w:rFonts w:ascii="Times New Roman" w:hAnsi="Times New Roman" w:cs="Times New Roman" w:hint="default"/>
      </w:rPr>
    </w:lvl>
    <w:lvl w:ilvl="4" w:tplc="10E47966">
      <w:start w:val="1"/>
      <w:numFmt w:val="bullet"/>
      <w:lvlText w:val="•"/>
      <w:lvlJc w:val="left"/>
      <w:pPr>
        <w:tabs>
          <w:tab w:val="num" w:pos="3600"/>
        </w:tabs>
        <w:ind w:left="3600" w:hanging="360"/>
      </w:pPr>
      <w:rPr>
        <w:rFonts w:ascii="Times New Roman" w:hAnsi="Times New Roman" w:cs="Times New Roman" w:hint="default"/>
      </w:rPr>
    </w:lvl>
    <w:lvl w:ilvl="5" w:tplc="BF6C088E">
      <w:start w:val="1"/>
      <w:numFmt w:val="bullet"/>
      <w:lvlText w:val="•"/>
      <w:lvlJc w:val="left"/>
      <w:pPr>
        <w:tabs>
          <w:tab w:val="num" w:pos="4320"/>
        </w:tabs>
        <w:ind w:left="4320" w:hanging="360"/>
      </w:pPr>
      <w:rPr>
        <w:rFonts w:ascii="Times New Roman" w:hAnsi="Times New Roman" w:cs="Times New Roman" w:hint="default"/>
      </w:rPr>
    </w:lvl>
    <w:lvl w:ilvl="6" w:tplc="A362931A">
      <w:start w:val="1"/>
      <w:numFmt w:val="bullet"/>
      <w:lvlText w:val="•"/>
      <w:lvlJc w:val="left"/>
      <w:pPr>
        <w:tabs>
          <w:tab w:val="num" w:pos="5040"/>
        </w:tabs>
        <w:ind w:left="5040" w:hanging="360"/>
      </w:pPr>
      <w:rPr>
        <w:rFonts w:ascii="Times New Roman" w:hAnsi="Times New Roman" w:cs="Times New Roman" w:hint="default"/>
      </w:rPr>
    </w:lvl>
    <w:lvl w:ilvl="7" w:tplc="ED208E46">
      <w:start w:val="1"/>
      <w:numFmt w:val="bullet"/>
      <w:lvlText w:val="•"/>
      <w:lvlJc w:val="left"/>
      <w:pPr>
        <w:tabs>
          <w:tab w:val="num" w:pos="5760"/>
        </w:tabs>
        <w:ind w:left="5760" w:hanging="360"/>
      </w:pPr>
      <w:rPr>
        <w:rFonts w:ascii="Times New Roman" w:hAnsi="Times New Roman" w:cs="Times New Roman" w:hint="default"/>
      </w:rPr>
    </w:lvl>
    <w:lvl w:ilvl="8" w:tplc="B1E4114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B9"/>
    <w:rsid w:val="00022590"/>
    <w:rsid w:val="000C58AC"/>
    <w:rsid w:val="000C5D07"/>
    <w:rsid w:val="000E22E0"/>
    <w:rsid w:val="001878D2"/>
    <w:rsid w:val="001A2C0E"/>
    <w:rsid w:val="001C559C"/>
    <w:rsid w:val="001E0343"/>
    <w:rsid w:val="0021758C"/>
    <w:rsid w:val="00247195"/>
    <w:rsid w:val="002B5509"/>
    <w:rsid w:val="002C3FE4"/>
    <w:rsid w:val="002C6119"/>
    <w:rsid w:val="003739C5"/>
    <w:rsid w:val="003936AF"/>
    <w:rsid w:val="003B7ACD"/>
    <w:rsid w:val="00485F6D"/>
    <w:rsid w:val="00492885"/>
    <w:rsid w:val="004A34B8"/>
    <w:rsid w:val="004E79BB"/>
    <w:rsid w:val="004F575A"/>
    <w:rsid w:val="005253FE"/>
    <w:rsid w:val="00535D40"/>
    <w:rsid w:val="00542F87"/>
    <w:rsid w:val="00583F49"/>
    <w:rsid w:val="005C0C04"/>
    <w:rsid w:val="005D0394"/>
    <w:rsid w:val="00647E87"/>
    <w:rsid w:val="006C2936"/>
    <w:rsid w:val="00731242"/>
    <w:rsid w:val="00754E5B"/>
    <w:rsid w:val="007601F6"/>
    <w:rsid w:val="00761F93"/>
    <w:rsid w:val="00763533"/>
    <w:rsid w:val="008303FA"/>
    <w:rsid w:val="00847EE3"/>
    <w:rsid w:val="008704A7"/>
    <w:rsid w:val="00914BF9"/>
    <w:rsid w:val="00953DE0"/>
    <w:rsid w:val="00970D8A"/>
    <w:rsid w:val="009E041D"/>
    <w:rsid w:val="00A260FB"/>
    <w:rsid w:val="00A54A52"/>
    <w:rsid w:val="00AE3B71"/>
    <w:rsid w:val="00B50BBD"/>
    <w:rsid w:val="00B66A1E"/>
    <w:rsid w:val="00C17E38"/>
    <w:rsid w:val="00C827D7"/>
    <w:rsid w:val="00C85BAF"/>
    <w:rsid w:val="00C953CF"/>
    <w:rsid w:val="00CD2A0B"/>
    <w:rsid w:val="00CF6063"/>
    <w:rsid w:val="00D1403A"/>
    <w:rsid w:val="00D7178F"/>
    <w:rsid w:val="00D94E58"/>
    <w:rsid w:val="00DB5B57"/>
    <w:rsid w:val="00DC605C"/>
    <w:rsid w:val="00DF462A"/>
    <w:rsid w:val="00E344AB"/>
    <w:rsid w:val="00E65EB9"/>
    <w:rsid w:val="00EB13EE"/>
    <w:rsid w:val="00EB3CFE"/>
    <w:rsid w:val="00EC3186"/>
    <w:rsid w:val="00F32B87"/>
    <w:rsid w:val="00FD5F4E"/>
    <w:rsid w:val="00FF5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2BA4B-5CDE-40BD-AD1D-0B09A64E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3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Title2">
    <w:name w:val="SubTitle 2"/>
    <w:basedOn w:val="Normal"/>
    <w:rsid w:val="00C17E38"/>
    <w:pPr>
      <w:spacing w:after="240" w:line="240" w:lineRule="auto"/>
      <w:jc w:val="center"/>
    </w:pPr>
    <w:rPr>
      <w:rFonts w:ascii="Times New Roman" w:eastAsia="Times New Roman" w:hAnsi="Times New Roman"/>
      <w:b/>
      <w:sz w:val="32"/>
      <w:szCs w:val="20"/>
      <w:lang w:val="en-GB" w:eastAsia="es-ES"/>
    </w:rPr>
  </w:style>
  <w:style w:type="paragraph" w:styleId="Altbilgi">
    <w:name w:val="footer"/>
    <w:basedOn w:val="Normal"/>
    <w:link w:val="AltbilgiChar"/>
    <w:uiPriority w:val="99"/>
    <w:unhideWhenUsed/>
    <w:rsid w:val="00C17E38"/>
    <w:pPr>
      <w:tabs>
        <w:tab w:val="center" w:pos="4536"/>
        <w:tab w:val="right" w:pos="9072"/>
      </w:tabs>
    </w:pPr>
  </w:style>
  <w:style w:type="character" w:customStyle="1" w:styleId="AltbilgiChar">
    <w:name w:val="Altbilgi Char"/>
    <w:basedOn w:val="VarsaylanParagrafYazTipi"/>
    <w:link w:val="Altbilgi"/>
    <w:uiPriority w:val="99"/>
    <w:rsid w:val="00C17E38"/>
    <w:rPr>
      <w:rFonts w:ascii="Calibri" w:eastAsia="Calibri" w:hAnsi="Calibri" w:cs="Times New Roman"/>
    </w:rPr>
  </w:style>
  <w:style w:type="paragraph" w:customStyle="1" w:styleId="Default">
    <w:name w:val="Default"/>
    <w:rsid w:val="00C17E38"/>
    <w:pPr>
      <w:autoSpaceDE w:val="0"/>
      <w:autoSpaceDN w:val="0"/>
      <w:adjustRightInd w:val="0"/>
      <w:spacing w:after="0" w:line="240" w:lineRule="auto"/>
    </w:pPr>
    <w:rPr>
      <w:rFonts w:ascii="Garamond" w:eastAsia="Calibri" w:hAnsi="Garamond" w:cs="Garamond"/>
      <w:color w:val="000000"/>
      <w:sz w:val="24"/>
      <w:szCs w:val="24"/>
      <w:lang w:eastAsia="tr-TR"/>
    </w:rPr>
  </w:style>
  <w:style w:type="paragraph" w:styleId="DipnotMetni">
    <w:name w:val="footnote text"/>
    <w:basedOn w:val="Normal"/>
    <w:link w:val="DipnotMetniChar"/>
    <w:uiPriority w:val="99"/>
    <w:semiHidden/>
    <w:unhideWhenUsed/>
    <w:rsid w:val="00C17E38"/>
    <w:rPr>
      <w:sz w:val="20"/>
      <w:szCs w:val="20"/>
    </w:rPr>
  </w:style>
  <w:style w:type="character" w:customStyle="1" w:styleId="DipnotMetniChar">
    <w:name w:val="Dipnot Metni Char"/>
    <w:basedOn w:val="VarsaylanParagrafYazTipi"/>
    <w:link w:val="DipnotMetni"/>
    <w:uiPriority w:val="99"/>
    <w:semiHidden/>
    <w:rsid w:val="00C17E38"/>
    <w:rPr>
      <w:rFonts w:ascii="Calibri" w:eastAsia="Calibri" w:hAnsi="Calibri" w:cs="Times New Roman"/>
      <w:sz w:val="20"/>
      <w:szCs w:val="20"/>
    </w:rPr>
  </w:style>
  <w:style w:type="character" w:styleId="DipnotBavurusu">
    <w:name w:val="footnote reference"/>
    <w:uiPriority w:val="99"/>
    <w:semiHidden/>
    <w:unhideWhenUsed/>
    <w:rsid w:val="00C17E38"/>
    <w:rPr>
      <w:vertAlign w:val="superscript"/>
    </w:rPr>
  </w:style>
  <w:style w:type="paragraph" w:styleId="stbilgi">
    <w:name w:val="header"/>
    <w:basedOn w:val="Normal"/>
    <w:link w:val="stbilgiChar"/>
    <w:uiPriority w:val="99"/>
    <w:unhideWhenUsed/>
    <w:rsid w:val="004F57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575A"/>
    <w:rPr>
      <w:rFonts w:ascii="Calibri" w:eastAsia="Calibri" w:hAnsi="Calibri" w:cs="Times New Roman"/>
    </w:rPr>
  </w:style>
  <w:style w:type="paragraph" w:styleId="AralkYok">
    <w:name w:val="No Spacing"/>
    <w:uiPriority w:val="1"/>
    <w:qFormat/>
    <w:rsid w:val="006C293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E2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22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Avşar</dc:creator>
  <cp:lastModifiedBy>İlyas KÖSE</cp:lastModifiedBy>
  <cp:revision>2</cp:revision>
  <cp:lastPrinted>2015-12-23T13:53:00Z</cp:lastPrinted>
  <dcterms:created xsi:type="dcterms:W3CDTF">2016-01-06T06:40:00Z</dcterms:created>
  <dcterms:modified xsi:type="dcterms:W3CDTF">2016-01-06T06:40:00Z</dcterms:modified>
</cp:coreProperties>
</file>